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40" w:rsidRDefault="007D434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D4340" w:rsidRDefault="007D4340">
      <w:pPr>
        <w:pStyle w:val="ConsPlusNormal"/>
        <w:jc w:val="both"/>
        <w:outlineLvl w:val="0"/>
      </w:pPr>
    </w:p>
    <w:p w:rsidR="007D4340" w:rsidRDefault="007D4340">
      <w:pPr>
        <w:pStyle w:val="ConsPlusTitle"/>
        <w:jc w:val="center"/>
      </w:pPr>
      <w:r>
        <w:t>МИНИСТЕРСТВО ПРОСВЕЩЕНИЯ РОССИЙСКОЙ ФЕДЕРАЦИИ</w:t>
      </w:r>
    </w:p>
    <w:p w:rsidR="007D4340" w:rsidRDefault="007D4340">
      <w:pPr>
        <w:pStyle w:val="ConsPlusTitle"/>
        <w:jc w:val="center"/>
      </w:pPr>
    </w:p>
    <w:p w:rsidR="007D4340" w:rsidRDefault="007D4340">
      <w:pPr>
        <w:pStyle w:val="ConsPlusTitle"/>
        <w:jc w:val="center"/>
      </w:pPr>
      <w:r>
        <w:t>ДЕПАРТАМЕНТ ГОСУДАРСТВЕННОЙ ПОЛИТИКИ В СФЕРЕ</w:t>
      </w:r>
    </w:p>
    <w:p w:rsidR="007D4340" w:rsidRDefault="007D4340">
      <w:pPr>
        <w:pStyle w:val="ConsPlusTitle"/>
        <w:jc w:val="center"/>
      </w:pPr>
      <w:r>
        <w:t>ОЦЕНКИ КАЧЕСТВА ОБЩЕГО ОБРАЗОВАНИЯ</w:t>
      </w:r>
    </w:p>
    <w:p w:rsidR="007D4340" w:rsidRDefault="007D4340">
      <w:pPr>
        <w:pStyle w:val="ConsPlusTitle"/>
        <w:jc w:val="center"/>
      </w:pPr>
    </w:p>
    <w:p w:rsidR="007D4340" w:rsidRDefault="007D4340">
      <w:pPr>
        <w:pStyle w:val="ConsPlusTitle"/>
        <w:jc w:val="center"/>
      </w:pPr>
      <w:r>
        <w:t>ПИСЬМО</w:t>
      </w:r>
    </w:p>
    <w:p w:rsidR="007D4340" w:rsidRDefault="007D4340">
      <w:pPr>
        <w:pStyle w:val="ConsPlusTitle"/>
        <w:jc w:val="center"/>
      </w:pPr>
      <w:r>
        <w:t>от 26 декабря 2019 г. N 04-1549</w:t>
      </w:r>
    </w:p>
    <w:p w:rsidR="007D4340" w:rsidRDefault="007D4340">
      <w:pPr>
        <w:pStyle w:val="ConsPlusTitle"/>
        <w:jc w:val="center"/>
      </w:pPr>
    </w:p>
    <w:p w:rsidR="007D4340" w:rsidRDefault="007D4340">
      <w:pPr>
        <w:pStyle w:val="ConsPlusTitle"/>
        <w:jc w:val="center"/>
      </w:pPr>
      <w:r>
        <w:t>О ПРОХОЖДЕНИИ ГИА ПРИ ПОВТОРНОМ ОБУЧЕНИИ</w:t>
      </w:r>
    </w:p>
    <w:p w:rsidR="007D4340" w:rsidRDefault="007D4340">
      <w:pPr>
        <w:pStyle w:val="ConsPlusNormal"/>
        <w:jc w:val="both"/>
      </w:pPr>
    </w:p>
    <w:p w:rsidR="007D4340" w:rsidRDefault="007D4340">
      <w:pPr>
        <w:pStyle w:val="ConsPlusNormal"/>
        <w:ind w:firstLine="540"/>
        <w:jc w:val="both"/>
      </w:pPr>
      <w:r>
        <w:t>В связи с поступающими обращениями граждан и руководителей образовательных организаций Департамент государственной политики в сфере оценки качества общего образования Минпросвещения России (далее - Департамент) направляет разъяснения по вопросу прохождения государственной итоговой аттестации по программам основного общего образования лицами, оставшимися на повторное обучение.</w:t>
      </w:r>
    </w:p>
    <w:p w:rsidR="007D4340" w:rsidRDefault="007D4340">
      <w:pPr>
        <w:pStyle w:val="ConsPlusNormal"/>
        <w:spacing w:before="200"/>
        <w:ind w:firstLine="540"/>
        <w:jc w:val="both"/>
      </w:pPr>
      <w:proofErr w:type="gramStart"/>
      <w:r>
        <w:t xml:space="preserve">Согласно </w:t>
      </w:r>
      <w:hyperlink r:id="rId6">
        <w:r>
          <w:rPr>
            <w:color w:val="0000FF"/>
          </w:rPr>
          <w:t>части 5 статьи 66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закон) начальное общее образование, основное общее образование, среднее общее образование являются обязательными уровнями образования (требование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ранее).</w:t>
      </w:r>
      <w:proofErr w:type="gramEnd"/>
    </w:p>
    <w:p w:rsidR="007D4340" w:rsidRDefault="007D4340">
      <w:pPr>
        <w:pStyle w:val="ConsPlusNormal"/>
        <w:spacing w:before="200"/>
        <w:ind w:firstLine="540"/>
        <w:jc w:val="both"/>
      </w:pPr>
      <w:r>
        <w:t>При этом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 (</w:t>
      </w:r>
      <w:hyperlink r:id="rId7">
        <w:r>
          <w:rPr>
            <w:color w:val="0000FF"/>
          </w:rPr>
          <w:t>часть 2 статьи 63</w:t>
        </w:r>
      </w:hyperlink>
      <w:r>
        <w:t xml:space="preserve"> Федерального закона).</w:t>
      </w:r>
    </w:p>
    <w:p w:rsidR="007D4340" w:rsidRDefault="007D4340">
      <w:pPr>
        <w:pStyle w:val="ConsPlusNormal"/>
        <w:spacing w:before="200"/>
        <w:ind w:firstLine="540"/>
        <w:jc w:val="both"/>
      </w:pPr>
      <w:proofErr w:type="gramStart"/>
      <w:r>
        <w:t xml:space="preserve">На основании </w:t>
      </w:r>
      <w:hyperlink r:id="rId8">
        <w:r>
          <w:rPr>
            <w:color w:val="0000FF"/>
          </w:rPr>
          <w:t>частей 3</w:t>
        </w:r>
      </w:hyperlink>
      <w:r>
        <w:t xml:space="preserve"> и </w:t>
      </w:r>
      <w:hyperlink r:id="rId9">
        <w:r>
          <w:rPr>
            <w:color w:val="0000FF"/>
          </w:rPr>
          <w:t>4 статьи 59</w:t>
        </w:r>
      </w:hyperlink>
      <w:r>
        <w:t xml:space="preserve"> Федерального закона государственная итоговая аттестация по программам основного общего образования является обязательной и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  <w:proofErr w:type="gramEnd"/>
    </w:p>
    <w:p w:rsidR="007D4340" w:rsidRDefault="007D4340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частью 6 статьи 59</w:t>
        </w:r>
      </w:hyperlink>
      <w:r>
        <w:t xml:space="preserve"> Федерального закона и </w:t>
      </w:r>
      <w:hyperlink r:id="rId11">
        <w:r>
          <w:rPr>
            <w:color w:val="0000FF"/>
          </w:rPr>
          <w:t>пунктом 11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Минпросвещения России и Рособрнадзора от 7 ноября 2018 г. N 189/1513 (далее соответственно - Порядок, ГИА-9), к ГИА-9 допускается обучающийся, не имеющий академической задолженности и в полном объеме выполнивший учебный план или индивидуальный учебный</w:t>
      </w:r>
      <w:proofErr w:type="gramEnd"/>
      <w:r>
        <w:t xml:space="preserve"> план, а также имеющий результат "зачет" за итоговое собеседование по русскому языку.</w:t>
      </w:r>
    </w:p>
    <w:p w:rsidR="007D4340" w:rsidRDefault="007D4340">
      <w:pPr>
        <w:pStyle w:val="ConsPlusNormal"/>
        <w:spacing w:before="200"/>
        <w:ind w:firstLine="540"/>
        <w:jc w:val="both"/>
      </w:pPr>
      <w:proofErr w:type="gramStart"/>
      <w:r>
        <w:t xml:space="preserve">В силу </w:t>
      </w:r>
      <w:hyperlink r:id="rId12">
        <w:r>
          <w:rPr>
            <w:color w:val="0000FF"/>
          </w:rPr>
          <w:t>части 7 статьи 59</w:t>
        </w:r>
      </w:hyperlink>
      <w:r>
        <w:t xml:space="preserve"> Федерального закона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7D4340" w:rsidRDefault="007D4340">
      <w:pPr>
        <w:pStyle w:val="ConsPlusNormal"/>
        <w:spacing w:before="200"/>
        <w:ind w:firstLine="540"/>
        <w:jc w:val="both"/>
      </w:pPr>
      <w:proofErr w:type="gramStart"/>
      <w:r>
        <w:t xml:space="preserve">В силу </w:t>
      </w:r>
      <w:hyperlink r:id="rId13">
        <w:r>
          <w:rPr>
            <w:color w:val="0000FF"/>
          </w:rPr>
          <w:t>пункта 76</w:t>
        </w:r>
      </w:hyperlink>
      <w:r>
        <w:t xml:space="preserve"> Порядка участникам,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в резервные сроки, предоставляется право пройти ГИА-9 по соответствующим учебным предметам в дополнительный период, но не ранее 1 сентября текущего года в сроки и формах, устанавливаемых </w:t>
      </w:r>
      <w:hyperlink r:id="rId14">
        <w:r>
          <w:rPr>
            <w:color w:val="0000FF"/>
          </w:rPr>
          <w:t>Порядком</w:t>
        </w:r>
      </w:hyperlink>
      <w:r>
        <w:t>.</w:t>
      </w:r>
      <w:proofErr w:type="gramEnd"/>
    </w:p>
    <w:p w:rsidR="007D4340" w:rsidRDefault="007D4340">
      <w:pPr>
        <w:pStyle w:val="ConsPlusNormal"/>
        <w:spacing w:before="200"/>
        <w:ind w:firstLine="540"/>
        <w:jc w:val="both"/>
      </w:pPr>
      <w:proofErr w:type="gramStart"/>
      <w:r>
        <w:t xml:space="preserve">Участникам, проходящим ГИА только по обязательным учебным предметам, не прошедшим ГИА-9 или получившим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в резервные сроки, предоставляется право пройти ГИА-9 по соответствующим учебным предметам в дополнительный период, но не ранее 1 сентября текущего года в сроки и формах, устанавливаемых </w:t>
      </w:r>
      <w:hyperlink r:id="rId15">
        <w:r>
          <w:rPr>
            <w:color w:val="0000FF"/>
          </w:rPr>
          <w:t>Порядком</w:t>
        </w:r>
      </w:hyperlink>
      <w:r>
        <w:t>.</w:t>
      </w:r>
      <w:proofErr w:type="gramEnd"/>
    </w:p>
    <w:p w:rsidR="007D4340" w:rsidRDefault="007D4340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Пунктом 36</w:t>
        </w:r>
      </w:hyperlink>
      <w:r>
        <w:t xml:space="preserve"> Порядка определены следующие сроки прохождения ГИА-9: досрочный, основной и дополнительный периоды. В каждом из указанных периодов проведения предусматриваются резервные сроки.</w:t>
      </w:r>
    </w:p>
    <w:p w:rsidR="007D4340" w:rsidRDefault="007D4340">
      <w:pPr>
        <w:pStyle w:val="ConsPlusNormal"/>
        <w:spacing w:before="200"/>
        <w:ind w:firstLine="540"/>
        <w:jc w:val="both"/>
      </w:pPr>
      <w:r>
        <w:t>Таким образом, обучающиеся, не прошедшие ГИА-9 в указанные сроки или получившие на ГИА-9 в дополнительный период неудовлетворительные результаты, могут пройти ГИА-9 только в следующем календарном году.</w:t>
      </w:r>
    </w:p>
    <w:p w:rsidR="007D4340" w:rsidRDefault="007D4340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17">
        <w:r>
          <w:rPr>
            <w:color w:val="0000FF"/>
          </w:rPr>
          <w:t>абзацем 10 пункта 20</w:t>
        </w:r>
      </w:hyperlink>
      <w: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 августа 2013 г. N 1015 (далее - Порядок осуществления образовательной деятельности), учащиеся, освоившие образовательные программы основного общего образования и получившие на ГИА неудовлетворительные результаты</w:t>
      </w:r>
      <w:proofErr w:type="gramEnd"/>
      <w:r>
        <w:t xml:space="preserve">, по усмотрению их родителей (законных представителей) оставляются на повторное обучение, кроме лиц, обладающих дееспособностью в силу </w:t>
      </w:r>
      <w:hyperlink r:id="rId18">
        <w:r>
          <w:rPr>
            <w:color w:val="0000FF"/>
          </w:rPr>
          <w:t>статей 21</w:t>
        </w:r>
      </w:hyperlink>
      <w:r>
        <w:t xml:space="preserve"> и </w:t>
      </w:r>
      <w:hyperlink r:id="rId19">
        <w:r>
          <w:rPr>
            <w:color w:val="0000FF"/>
          </w:rPr>
          <w:t>27</w:t>
        </w:r>
      </w:hyperlink>
      <w:r>
        <w:t xml:space="preserve"> Гражданского кодекса Российской Федерации.</w:t>
      </w:r>
    </w:p>
    <w:p w:rsidR="007D4340" w:rsidRDefault="007D4340">
      <w:pPr>
        <w:pStyle w:val="ConsPlusNormal"/>
        <w:spacing w:before="200"/>
        <w:ind w:firstLine="540"/>
        <w:jc w:val="both"/>
      </w:pPr>
      <w:r>
        <w:t xml:space="preserve">Обучающиеся могут пройти повторное </w:t>
      </w:r>
      <w:proofErr w:type="gramStart"/>
      <w:r>
        <w:t>обучение</w:t>
      </w:r>
      <w:proofErr w:type="gramEnd"/>
      <w:r>
        <w:t xml:space="preserve"> как в образовательной организации, так и вне образовательной организации в формах, установленных </w:t>
      </w:r>
      <w:hyperlink r:id="rId20">
        <w:r>
          <w:rPr>
            <w:color w:val="0000FF"/>
          </w:rPr>
          <w:t>статьей 17</w:t>
        </w:r>
      </w:hyperlink>
      <w:r>
        <w:t xml:space="preserve"> Федерального закона, в том числе по индивидуальному учебному плану (</w:t>
      </w:r>
      <w:hyperlink r:id="rId21">
        <w:r>
          <w:rPr>
            <w:color w:val="0000FF"/>
          </w:rPr>
          <w:t>пункт 3 часть 1 статьи 34</w:t>
        </w:r>
      </w:hyperlink>
      <w:r>
        <w:t xml:space="preserve"> Федерального закона).</w:t>
      </w:r>
    </w:p>
    <w:p w:rsidR="007D4340" w:rsidRDefault="007D4340">
      <w:pPr>
        <w:pStyle w:val="ConsPlusNormal"/>
        <w:spacing w:before="200"/>
        <w:ind w:firstLine="540"/>
        <w:jc w:val="both"/>
      </w:pPr>
      <w:proofErr w:type="gramStart"/>
      <w:r>
        <w:t>Обучающиеся, оставленные на повторное обучение, осваивают образовательную программу в соответствии с учебным планом и в порядке, установленном локальными нормативными актами, разработанными и утвержденными образовательной организацией, и могут быть допущены к ГИА-9 при условии наличия годовых отметок по всем учебным предметам учебного плана за IX класс не ниже удовлетворительных (</w:t>
      </w:r>
      <w:hyperlink r:id="rId22">
        <w:r>
          <w:rPr>
            <w:color w:val="0000FF"/>
          </w:rPr>
          <w:t>пункты 11</w:t>
        </w:r>
      </w:hyperlink>
      <w:r>
        <w:t xml:space="preserve"> и </w:t>
      </w:r>
      <w:hyperlink r:id="rId23">
        <w:r>
          <w:rPr>
            <w:color w:val="0000FF"/>
          </w:rPr>
          <w:t>76</w:t>
        </w:r>
      </w:hyperlink>
      <w:r>
        <w:t xml:space="preserve"> Порядка).</w:t>
      </w:r>
      <w:proofErr w:type="gramEnd"/>
    </w:p>
    <w:p w:rsidR="007D4340" w:rsidRDefault="007D4340">
      <w:pPr>
        <w:pStyle w:val="ConsPlusNormal"/>
        <w:spacing w:before="200"/>
        <w:ind w:firstLine="540"/>
        <w:jc w:val="both"/>
      </w:pPr>
      <w:r>
        <w:t xml:space="preserve">Обучающиеся, не прошедшие ГИА и желающие продолжить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в форме семейного образования (вне организации, осуществляющей образовательную деятельность), отчисляются из организации, осуществляющей образовательную деятельность, с выдачей справки об обучении (</w:t>
      </w:r>
      <w:hyperlink r:id="rId24">
        <w:r>
          <w:rPr>
            <w:color w:val="0000FF"/>
          </w:rPr>
          <w:t>абзац девятый пункта 20</w:t>
        </w:r>
      </w:hyperlink>
      <w:r>
        <w:t xml:space="preserve"> Порядка осуществления образовательной деятельности). В силу действия </w:t>
      </w:r>
      <w:hyperlink r:id="rId25">
        <w:r>
          <w:rPr>
            <w:color w:val="0000FF"/>
          </w:rPr>
          <w:t>части 3 статьи 34</w:t>
        </w:r>
      </w:hyperlink>
      <w:r>
        <w:t xml:space="preserve"> Федерального закона лица, осваивающие основную образовательную программу в форме семейного образования, вправе пройти промежуточную и государственную итоговую аттестацию экстерном. При прохождении аттестации экстерны пользуются академическими правами </w:t>
      </w:r>
      <w:proofErr w:type="gramStart"/>
      <w:r>
        <w:t>обучающихся</w:t>
      </w:r>
      <w:proofErr w:type="gramEnd"/>
      <w:r>
        <w:t xml:space="preserve"> по соответствующей образовательной программе. При этом в качестве результатов промежуточной аттестации экстернам могут быть зачтены отметки, полученные в организации, осуществляющей образовательную деятельность, в которой они проходили обучение, и указанные в справке об обучении (</w:t>
      </w:r>
      <w:hyperlink r:id="rId26">
        <w:r>
          <w:rPr>
            <w:color w:val="0000FF"/>
          </w:rPr>
          <w:t>пункт 7 части 1 статьи 34</w:t>
        </w:r>
      </w:hyperlink>
      <w:r>
        <w:t xml:space="preserve"> Федерального закона).</w:t>
      </w:r>
    </w:p>
    <w:p w:rsidR="007D4340" w:rsidRDefault="007D4340">
      <w:pPr>
        <w:pStyle w:val="ConsPlusNormal"/>
        <w:spacing w:before="200"/>
        <w:ind w:firstLine="540"/>
        <w:jc w:val="both"/>
      </w:pPr>
      <w:r>
        <w:t>По завершении повторного обучения обучающиеся проходят ГИА-9 по учебным предметам, при сдаче которых обучающимися были получены неудовлетворительные результаты.</w:t>
      </w:r>
    </w:p>
    <w:p w:rsidR="007D4340" w:rsidRDefault="007D4340">
      <w:pPr>
        <w:pStyle w:val="ConsPlusNormal"/>
        <w:spacing w:before="200"/>
        <w:ind w:firstLine="540"/>
        <w:jc w:val="both"/>
      </w:pPr>
      <w:proofErr w:type="gramStart"/>
      <w:r>
        <w:t xml:space="preserve">Указанные обучающиеся считаются выпускниками текущего года и проходят ГИА-9 в сроки, установленные </w:t>
      </w:r>
      <w:hyperlink r:id="rId27">
        <w:r>
          <w:rPr>
            <w:color w:val="0000FF"/>
          </w:rPr>
          <w:t>Порядком</w:t>
        </w:r>
      </w:hyperlink>
      <w:r>
        <w:t xml:space="preserve"> для указанной категории участников.</w:t>
      </w:r>
      <w:proofErr w:type="gramEnd"/>
      <w:r>
        <w:t xml:space="preserve"> При этом у них отсутствует необходимость повторного прохождения итогового собеседования по русскому языку как допуска к ГИА в текущем учебном году.</w:t>
      </w:r>
    </w:p>
    <w:p w:rsidR="007D4340" w:rsidRDefault="007D4340">
      <w:pPr>
        <w:pStyle w:val="ConsPlusNormal"/>
        <w:spacing w:before="200"/>
        <w:ind w:firstLine="540"/>
        <w:jc w:val="both"/>
      </w:pPr>
      <w:r>
        <w:t>Взимание платы за прохождение промежуточной аттестации и ГИА-9 по образовательным программам основного общего образования, в том числе с экстернов, не допускается.</w:t>
      </w:r>
    </w:p>
    <w:p w:rsidR="007D4340" w:rsidRDefault="007D4340">
      <w:pPr>
        <w:pStyle w:val="ConsPlusNormal"/>
        <w:spacing w:before="200"/>
        <w:ind w:firstLine="540"/>
        <w:jc w:val="both"/>
      </w:pPr>
      <w:r>
        <w:t>Дополнительно Департамент сообщает.</w:t>
      </w:r>
    </w:p>
    <w:p w:rsidR="007D4340" w:rsidRDefault="007D4340">
      <w:pPr>
        <w:pStyle w:val="ConsPlusNormal"/>
        <w:spacing w:before="200"/>
        <w:ind w:firstLine="540"/>
        <w:jc w:val="both"/>
      </w:pPr>
      <w:r>
        <w:t xml:space="preserve">Обучающиеся, не прошедшие ГИА-9, вправе пройти профессиональное обучение в соответствии со </w:t>
      </w:r>
      <w:hyperlink r:id="rId28">
        <w:r>
          <w:rPr>
            <w:color w:val="0000FF"/>
          </w:rPr>
          <w:t>статьей 73</w:t>
        </w:r>
      </w:hyperlink>
      <w:r>
        <w:t xml:space="preserve"> Федерального закона и </w:t>
      </w:r>
      <w:hyperlink r:id="rId29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программам профессионального обучения, утвержденным приказом Минобрнауки России от 18 апреля 2013 г. N 292.</w:t>
      </w:r>
    </w:p>
    <w:p w:rsidR="007D4340" w:rsidRDefault="007D4340">
      <w:pPr>
        <w:pStyle w:val="ConsPlusNormal"/>
        <w:spacing w:before="200"/>
        <w:ind w:firstLine="540"/>
        <w:jc w:val="both"/>
      </w:pPr>
      <w:r>
        <w:t xml:space="preserve">Лица в возрасте до восемнадцати лет могут осваивать основные программы профессионального </w:t>
      </w:r>
      <w:proofErr w:type="gramStart"/>
      <w:r>
        <w:t>обучения по программам</w:t>
      </w:r>
      <w:proofErr w:type="gramEnd"/>
      <w:r>
        <w:t xml:space="preserve"> профессиональной подготовки по профессиям рабочих или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образования, предусматривающим получение среднего общего образования. При этом профессиональное </w:t>
      </w:r>
      <w:r>
        <w:lastRenderedPageBreak/>
        <w:t xml:space="preserve">обучение лиц в возрасте до восемнадцати лет осуществляется только по тем профессиям рабочих и должностям служащих, работа по которым не запрещена или не ограничена для указанных лиц в соответствии с Трудовым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D4340" w:rsidRDefault="007D4340">
      <w:pPr>
        <w:pStyle w:val="ConsPlusNormal"/>
        <w:jc w:val="both"/>
      </w:pPr>
    </w:p>
    <w:p w:rsidR="007D4340" w:rsidRDefault="007D4340">
      <w:pPr>
        <w:pStyle w:val="ConsPlusNormal"/>
        <w:jc w:val="right"/>
      </w:pPr>
      <w:r>
        <w:t>А.Е.ЧЕТВЕРТКОВ</w:t>
      </w:r>
    </w:p>
    <w:p w:rsidR="007D4340" w:rsidRDefault="007D4340">
      <w:pPr>
        <w:pStyle w:val="ConsPlusNormal"/>
        <w:jc w:val="both"/>
      </w:pPr>
    </w:p>
    <w:p w:rsidR="007D4340" w:rsidRDefault="007D4340">
      <w:pPr>
        <w:pStyle w:val="ConsPlusNormal"/>
        <w:jc w:val="both"/>
      </w:pPr>
    </w:p>
    <w:p w:rsidR="007D4340" w:rsidRDefault="007D43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0" w:name="_GoBack"/>
      <w:bookmarkEnd w:id="0"/>
    </w:p>
    <w:sectPr w:rsidR="005A26B7" w:rsidSect="0008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40"/>
    <w:rsid w:val="005A26B7"/>
    <w:rsid w:val="007D4340"/>
    <w:rsid w:val="00815170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3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43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D43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3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43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D43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FDEA14A05DB46699C41364B05DEECE0CEA0D9075F39F563A3F47F179AA881D216C0D8D476924E9DD972435884F2BC46CCB343A72779AAo7a1I" TargetMode="External"/><Relationship Id="rId13" Type="http://schemas.openxmlformats.org/officeDocument/2006/relationships/hyperlink" Target="consultantplus://offline/ref=6C1FDEA14A05DB46699C41364B05DEECE7CDA1DF045639F563A3F47F179AA881D216C0D8D47699499CD972435884F2BC46CCB343A72779AAo7a1I" TargetMode="External"/><Relationship Id="rId18" Type="http://schemas.openxmlformats.org/officeDocument/2006/relationships/hyperlink" Target="consultantplus://offline/ref=6C1FDEA14A05DB46699C41364B05DEECE0CDA2DA055139F563A3F47F179AA881D216C0D8D4769B4F9AD972435884F2BC46CCB343A72779AAo7a1I" TargetMode="External"/><Relationship Id="rId26" Type="http://schemas.openxmlformats.org/officeDocument/2006/relationships/hyperlink" Target="consultantplus://offline/ref=6C1FDEA14A05DB46699C41364B05DEECE0CEA0D9075F39F563A3F47F179AA881D216C0D8D4769E4699D972435884F2BC46CCB343A72779AAo7a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1FDEA14A05DB46699C41364B05DEECE0CEA0D9075F39F563A3F47F179AA881D216C0D8D4769E469DD972435884F2BC46CCB343A72779AAo7a1I" TargetMode="External"/><Relationship Id="rId7" Type="http://schemas.openxmlformats.org/officeDocument/2006/relationships/hyperlink" Target="consultantplus://offline/ref=6C1FDEA14A05DB46699C41364B05DEECE0CEA0D9075F39F563A3F47F179AA881D216C0D8D476924894D972435884F2BC46CCB343A72779AAo7a1I" TargetMode="External"/><Relationship Id="rId12" Type="http://schemas.openxmlformats.org/officeDocument/2006/relationships/hyperlink" Target="consultantplus://offline/ref=6C1FDEA14A05DB46699C41364B05DEECE0CEA0D9075F39F563A3F47F179AA881D216C0D8D476924E99D972435884F2BC46CCB343A72779AAo7a1I" TargetMode="External"/><Relationship Id="rId17" Type="http://schemas.openxmlformats.org/officeDocument/2006/relationships/hyperlink" Target="consultantplus://offline/ref=6C1FDEA14A05DB46699C41364B05DEECE7CEAAD8075539F563A3F47F179AA881D216C0DDDF22CB0AC8DF241002D0FEA046D2B0o4a0I" TargetMode="External"/><Relationship Id="rId25" Type="http://schemas.openxmlformats.org/officeDocument/2006/relationships/hyperlink" Target="consultantplus://offline/ref=6C1FDEA14A05DB46699C41364B05DEECE0CEA0D9075F39F563A3F47F179AA881D216C0D8D4769F4F98D972435884F2BC46CCB343A72779AAo7a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1FDEA14A05DB46699C41364B05DEECE7CDA1DF045639F563A3F47F179AA881D216C0D8D476984E9BD972435884F2BC46CCB343A72779AAo7a1I" TargetMode="External"/><Relationship Id="rId20" Type="http://schemas.openxmlformats.org/officeDocument/2006/relationships/hyperlink" Target="consultantplus://offline/ref=6C1FDEA14A05DB46699C41364B05DEECE0CEA0D9075F39F563A3F47F179AA881D216C0D8D47698499CD972435884F2BC46CCB343A72779AAo7a1I" TargetMode="External"/><Relationship Id="rId29" Type="http://schemas.openxmlformats.org/officeDocument/2006/relationships/hyperlink" Target="consultantplus://offline/ref=6C1FDEA14A05DB46699C41364B05DEECE5C5A0DD075439F563A3F47F179AA881D216C0D8D4769A4F9CD972435884F2BC46CCB343A72779AAo7a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1FDEA14A05DB46699C41364B05DEECE0CEA0D9075F39F563A3F47F179AA881D216C0D8D47692479DD972435884F2BC46CCB343A72779AAo7a1I" TargetMode="External"/><Relationship Id="rId11" Type="http://schemas.openxmlformats.org/officeDocument/2006/relationships/hyperlink" Target="consultantplus://offline/ref=6C1FDEA14A05DB46699C41364B05DEECE7CDA1DF045639F563A3F47F179AA881D216C0D8D4769A4B9CD972435884F2BC46CCB343A72779AAo7a1I" TargetMode="External"/><Relationship Id="rId24" Type="http://schemas.openxmlformats.org/officeDocument/2006/relationships/hyperlink" Target="consultantplus://offline/ref=6C1FDEA14A05DB46699C41364B05DEECE7CEAAD8075539F563A3F47F179AA881D216C0D8D572911ACC96731F1ED3E1BF45CCB042BBo2a7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C1FDEA14A05DB46699C41364B05DEECE7CDA1DF045639F563A3F47F179AA881D216C0D8D476984E9ED972435884F2BC46CCB343A72779AAo7a1I" TargetMode="External"/><Relationship Id="rId23" Type="http://schemas.openxmlformats.org/officeDocument/2006/relationships/hyperlink" Target="consultantplus://offline/ref=6C1FDEA14A05DB46699C41364B05DEECE7CDA1DF045639F563A3F47F179AA881D216C0D8D47699499CD972435884F2BC46CCB343A72779AAo7a1I" TargetMode="External"/><Relationship Id="rId28" Type="http://schemas.openxmlformats.org/officeDocument/2006/relationships/hyperlink" Target="consultantplus://offline/ref=6C1FDEA14A05DB46699C41364B05DEECE0CEA0D9075F39F563A3F47F179AA881D216C0D8D47693469CD972435884F2BC46CCB343A72779AAo7a1I" TargetMode="External"/><Relationship Id="rId10" Type="http://schemas.openxmlformats.org/officeDocument/2006/relationships/hyperlink" Target="consultantplus://offline/ref=6C1FDEA14A05DB46699C41364B05DEECE0CEA0D9075F39F563A3F47F179AA881D216C0D8D476924E9ED972435884F2BC46CCB343A72779AAo7a1I" TargetMode="External"/><Relationship Id="rId19" Type="http://schemas.openxmlformats.org/officeDocument/2006/relationships/hyperlink" Target="consultantplus://offline/ref=6C1FDEA14A05DB46699C41364B05DEECE0CDA2DA055139F563A3F47F179AA881D216C0D8D4769B4B9AD972435884F2BC46CCB343A72779AAo7a1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1FDEA14A05DB46699C41364B05DEECE0CEA0D9075F39F563A3F47F179AA881D216C0D8D476924E9CD972435884F2BC46CCB343A72779AAo7a1I" TargetMode="External"/><Relationship Id="rId14" Type="http://schemas.openxmlformats.org/officeDocument/2006/relationships/hyperlink" Target="consultantplus://offline/ref=6C1FDEA14A05DB46699C41364B05DEECE7CDA1DF045639F563A3F47F179AA881D216C0D8D476984E9ED972435884F2BC46CCB343A72779AAo7a1I" TargetMode="External"/><Relationship Id="rId22" Type="http://schemas.openxmlformats.org/officeDocument/2006/relationships/hyperlink" Target="consultantplus://offline/ref=6C1FDEA14A05DB46699C41364B05DEECE7CDA1DF045639F563A3F47F179AA881D216C0D8D4769A4B9CD972435884F2BC46CCB343A72779AAo7a1I" TargetMode="External"/><Relationship Id="rId27" Type="http://schemas.openxmlformats.org/officeDocument/2006/relationships/hyperlink" Target="consultantplus://offline/ref=6C1FDEA14A05DB46699C41364B05DEECE7CDA1DF045639F563A3F47F179AA881D216C0D8D476984E9ED972435884F2BC46CCB343A72779AAo7a1I" TargetMode="External"/><Relationship Id="rId30" Type="http://schemas.openxmlformats.org/officeDocument/2006/relationships/hyperlink" Target="consultantplus://offline/ref=6C1FDEA14A05DB46699C41364B05DEECE0CFA2DB075639F563A3F47F179AA881D216C0D8D4779C4A9BD972435884F2BC46CCB343A72779AAo7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1823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2022-11-22T08:26:00Z</dcterms:created>
  <dcterms:modified xsi:type="dcterms:W3CDTF">2022-11-22T08:26:00Z</dcterms:modified>
</cp:coreProperties>
</file>